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4292204E"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D107BD">
        <w:t>9</w:t>
      </w:r>
      <w:r>
        <w:t xml:space="preserve">. února </w:t>
      </w:r>
      <w:r w:rsidRPr="00893890">
        <w:t>202</w:t>
      </w:r>
      <w:r>
        <w:t>6</w:t>
      </w:r>
    </w:p>
    <w:p w14:paraId="50D10091" w14:textId="77777777" w:rsidR="00361FE1" w:rsidRDefault="00361FE1" w:rsidP="00361FE1">
      <w:pPr>
        <w:spacing w:line="360" w:lineRule="auto"/>
        <w:rPr>
          <w:b/>
          <w:bCs/>
          <w:kern w:val="28"/>
          <w:sz w:val="28"/>
          <w:szCs w:val="28"/>
        </w:rPr>
      </w:pPr>
    </w:p>
    <w:p w14:paraId="1092EEB1" w14:textId="7F8C9F87" w:rsidR="00361FE1" w:rsidRPr="00361FE1" w:rsidRDefault="00361FE1" w:rsidP="00361FE1">
      <w:pPr>
        <w:spacing w:line="360" w:lineRule="auto"/>
        <w:rPr>
          <w:b/>
          <w:bCs/>
          <w:kern w:val="28"/>
          <w:sz w:val="28"/>
          <w:szCs w:val="28"/>
        </w:rPr>
      </w:pPr>
      <w:proofErr w:type="spellStart"/>
      <w:r w:rsidRPr="00361FE1">
        <w:rPr>
          <w:b/>
          <w:bCs/>
          <w:kern w:val="28"/>
          <w:sz w:val="28"/>
          <w:szCs w:val="28"/>
        </w:rPr>
        <w:t>Fidelity</w:t>
      </w:r>
      <w:proofErr w:type="spellEnd"/>
      <w:r w:rsidRPr="00361FE1">
        <w:rPr>
          <w:b/>
          <w:bCs/>
          <w:kern w:val="28"/>
          <w:sz w:val="28"/>
          <w:szCs w:val="28"/>
        </w:rPr>
        <w:t xml:space="preserve"> International: Investování v Číně v roce Koně</w:t>
      </w:r>
    </w:p>
    <w:p w14:paraId="653E3182" w14:textId="2F5702A4" w:rsidR="00361FE1" w:rsidRPr="00361FE1" w:rsidRDefault="00361FE1" w:rsidP="00361FE1">
      <w:r w:rsidRPr="00361FE1">
        <w:t xml:space="preserve">Po silném loňském roce vstoupil rok 2026 </w:t>
      </w:r>
      <w:r w:rsidR="009D4F08" w:rsidRPr="00361FE1">
        <w:t xml:space="preserve">na globálních trzích </w:t>
      </w:r>
      <w:r w:rsidRPr="00361FE1">
        <w:t>do volatilnějšího období</w:t>
      </w:r>
      <w:r w:rsidR="009D4F08">
        <w:t>, to f</w:t>
      </w:r>
      <w:r w:rsidRPr="00361FE1">
        <w:t>ormují rychle se měnící geopolitické události a proměnlivé priority světové ekonomiky. V tomto prostředí nabývá výhled Číny pro nadcházející rok na stále větším významu.</w:t>
      </w:r>
    </w:p>
    <w:p w14:paraId="1DFE42F6" w14:textId="77777777" w:rsidR="00361FE1" w:rsidRPr="00361FE1" w:rsidRDefault="00361FE1" w:rsidP="00361FE1">
      <w:r w:rsidRPr="00361FE1">
        <w:t xml:space="preserve">Se vstupem do roku ohnivého koně, který je v čínské astrologii tradičně spojován s dynamikou, tahem na branku a volatilitou, poukazuje </w:t>
      </w:r>
      <w:proofErr w:type="spellStart"/>
      <w:r w:rsidRPr="00361FE1">
        <w:t>Fidelity</w:t>
      </w:r>
      <w:proofErr w:type="spellEnd"/>
      <w:r w:rsidRPr="00361FE1">
        <w:t xml:space="preserve"> International na rozvíjející se investiční příležitosti v Číně. Tento rok je zároveň zahájením 15. pětiletého plánu Číny, strategického dokumentu, který určuje směřování země v další fázi jejího rozvoje.</w:t>
      </w:r>
    </w:p>
    <w:p w14:paraId="3E5B9F13" w14:textId="77777777" w:rsidR="00361FE1" w:rsidRPr="00361FE1" w:rsidRDefault="00361FE1" w:rsidP="00361FE1">
      <w:r w:rsidRPr="00361FE1">
        <w:t>S tím, jak se vyjasňují strategické priority, mohou investoři v nadcházejících měsících očekávat větší důraz na realizaci, kdy se politické signály promítnou do konkrétních opatření v klíčových sektorech.</w:t>
      </w:r>
    </w:p>
    <w:p w14:paraId="24383B11" w14:textId="77777777" w:rsidR="00922FDE" w:rsidRDefault="00361FE1" w:rsidP="00361FE1">
      <w:pPr>
        <w:rPr>
          <w:b/>
          <w:bCs/>
        </w:rPr>
      </w:pPr>
      <w:proofErr w:type="spellStart"/>
      <w:r w:rsidRPr="00361FE1">
        <w:rPr>
          <w:b/>
          <w:bCs/>
        </w:rPr>
        <w:t>Peiqian</w:t>
      </w:r>
      <w:proofErr w:type="spellEnd"/>
      <w:r w:rsidRPr="00361FE1">
        <w:rPr>
          <w:b/>
          <w:bCs/>
        </w:rPr>
        <w:t xml:space="preserve"> </w:t>
      </w:r>
      <w:proofErr w:type="spellStart"/>
      <w:r w:rsidRPr="00361FE1">
        <w:rPr>
          <w:b/>
          <w:bCs/>
        </w:rPr>
        <w:t>Liu</w:t>
      </w:r>
      <w:proofErr w:type="spellEnd"/>
      <w:r w:rsidRPr="00361FE1">
        <w:rPr>
          <w:b/>
          <w:bCs/>
        </w:rPr>
        <w:t xml:space="preserve">, ekonomka pro Asii, </w:t>
      </w:r>
      <w:proofErr w:type="spellStart"/>
      <w:r w:rsidRPr="00361FE1">
        <w:rPr>
          <w:b/>
          <w:bCs/>
        </w:rPr>
        <w:t>Fidelity</w:t>
      </w:r>
      <w:proofErr w:type="spellEnd"/>
      <w:r w:rsidRPr="00361FE1">
        <w:rPr>
          <w:b/>
          <w:bCs/>
        </w:rPr>
        <w:t xml:space="preserve"> International, </w:t>
      </w:r>
      <w:r w:rsidR="00922FDE">
        <w:rPr>
          <w:b/>
          <w:bCs/>
        </w:rPr>
        <w:t xml:space="preserve">situaci </w:t>
      </w:r>
      <w:r w:rsidRPr="00361FE1">
        <w:rPr>
          <w:b/>
          <w:bCs/>
        </w:rPr>
        <w:t>komentuje:</w:t>
      </w:r>
      <w:r>
        <w:rPr>
          <w:b/>
          <w:bCs/>
        </w:rPr>
        <w:tab/>
      </w:r>
    </w:p>
    <w:p w14:paraId="5BF26F39" w14:textId="7888692F" w:rsidR="00361FE1" w:rsidRPr="00361FE1" w:rsidRDefault="00361FE1" w:rsidP="00361FE1">
      <w:pPr>
        <w:rPr>
          <w:b/>
          <w:bCs/>
        </w:rPr>
      </w:pPr>
      <w:r w:rsidRPr="00361FE1">
        <w:br/>
        <w:t>„Navzdory složitému domácímu prostředí se makroekonomický výhled pro Čínu na rok 2026 stává vyváženějším a odolnějším, a to díky stabilní politice a přetrvávající síle klíčových motorů růstu. Vzhledem k absenci výrazného politického obratu lze očekávat pokračování dvoukolejného růstového modelu Číny, charakterizovaného slabší domácí poptávkou na jedné straně a silným exportním motorem na straně druhé.</w:t>
      </w:r>
    </w:p>
    <w:p w14:paraId="7EA1B6F1" w14:textId="77777777" w:rsidR="00361FE1" w:rsidRPr="00361FE1" w:rsidRDefault="00361FE1" w:rsidP="00361FE1">
      <w:r w:rsidRPr="00361FE1">
        <w:t>Reálný růst HDP by měl dosáhnout nebo dokonce překonat současnou prognózu MMF ve výši 4,2 %. Tržní očekávání směřují k cíli růstu HDP blízkému 5 %, podpořenému trvalou dynamikou ve výrobě, stále diverzifikovanějšími exportními trhy a odolnými investicemi do infrastruktury. Pro investory by se však letos měla pozornost stále více přesouvat k nominálnímu růstu, který bude klíčový pro posuzování ziskového potenciálu jednotlivých sektorů.“</w:t>
      </w:r>
    </w:p>
    <w:p w14:paraId="1CF44891" w14:textId="77777777" w:rsidR="00361FE1" w:rsidRPr="00361FE1" w:rsidRDefault="00361FE1" w:rsidP="00361FE1">
      <w:pPr>
        <w:rPr>
          <w:b/>
          <w:bCs/>
        </w:rPr>
      </w:pPr>
      <w:r w:rsidRPr="00361FE1">
        <w:rPr>
          <w:b/>
          <w:bCs/>
        </w:rPr>
        <w:t>Mírně vyšší pravděpodobnost reflace</w:t>
      </w:r>
    </w:p>
    <w:p w14:paraId="6290B6D2" w14:textId="77777777" w:rsidR="00361FE1" w:rsidRPr="00361FE1" w:rsidRDefault="00361FE1" w:rsidP="00361FE1">
      <w:r w:rsidRPr="00361FE1">
        <w:t>„Zatímco základním scénářem pro čínskou makroekonomiku zůstává kontrolovaná stabilizace, první náznaky podpory domácí poptávky ze strany politiky zvyšují pravděpodobnost reflace v roce 2026. Důležité je, že riziko výrazného zpomalení se jeví jako omezené, jelikož vnější prostředí zůstává obecně příznivé a sektor nemovitostí vykazuje další známky stabilizace.</w:t>
      </w:r>
    </w:p>
    <w:p w14:paraId="64C26F74" w14:textId="77777777" w:rsidR="00361FE1" w:rsidRPr="00361FE1" w:rsidRDefault="00361FE1" w:rsidP="00361FE1">
      <w:r w:rsidRPr="00361FE1">
        <w:t>Deflační tlaky by měly v krátkodobém horizontu přetrvávat, protože udržitelnější oživení domácí spotřeby se zatím plně neprojevilo. V současnosti se domníváme, že reálný růst je i nadále tažen především nabídkovou stranou ekonomiky.“</w:t>
      </w:r>
    </w:p>
    <w:p w14:paraId="123A94D4" w14:textId="77777777" w:rsidR="00361FE1" w:rsidRPr="00361FE1" w:rsidRDefault="00361FE1" w:rsidP="00361FE1">
      <w:pPr>
        <w:rPr>
          <w:b/>
          <w:bCs/>
        </w:rPr>
      </w:pPr>
      <w:r w:rsidRPr="00361FE1">
        <w:rPr>
          <w:b/>
          <w:bCs/>
        </w:rPr>
        <w:t>Výhled hospodářské politiky</w:t>
      </w:r>
    </w:p>
    <w:p w14:paraId="6C6C3AC4" w14:textId="77777777" w:rsidR="00361FE1" w:rsidRPr="00361FE1" w:rsidRDefault="00361FE1" w:rsidP="00361FE1">
      <w:r w:rsidRPr="00361FE1">
        <w:lastRenderedPageBreak/>
        <w:t>„Fiskální politika by měla v roce 2026 zůstat podpůrná, avšak umírněná, přičemž rozpočtový deficit se pravděpodobně udrží kolem 4 %. Kvóty na speciální dluhopisy místních samospráv se mohou mírně zvýšit s cílem podpořit investice do infrastruktury. Ačkoli přesné složení fiskálních opatření se stále vyvíjí, posun směrem k větší přímé podpoře domácností by byl pro domácí poptávku pozitivním signálem.</w:t>
      </w:r>
    </w:p>
    <w:p w14:paraId="0F17626C" w14:textId="77777777" w:rsidR="00361FE1" w:rsidRPr="00361FE1" w:rsidRDefault="00361FE1" w:rsidP="00361FE1">
      <w:r w:rsidRPr="00361FE1">
        <w:t>Čínská centrální banka (</w:t>
      </w:r>
      <w:proofErr w:type="spellStart"/>
      <w:r w:rsidRPr="00361FE1">
        <w:t>PBoC</w:t>
      </w:r>
      <w:proofErr w:type="spellEnd"/>
      <w:r w:rsidRPr="00361FE1">
        <w:t xml:space="preserve">) by měla zachovat mírně uvolněnou měnovou politiku, včetně snížení základních sazeb přibližně o 10 bazických bodů a snížení povinných minimálních rezerv (RRR) zhruba o 50 bazických bodů v průběhu roku. V prostředí tlumených inflačních tlaků a stále slabších růstových ukazatelů bude </w:t>
      </w:r>
      <w:proofErr w:type="spellStart"/>
      <w:r w:rsidRPr="00361FE1">
        <w:t>PBoC</w:t>
      </w:r>
      <w:proofErr w:type="spellEnd"/>
      <w:r w:rsidRPr="00361FE1">
        <w:t xml:space="preserve"> pravděpodobně postupovat opatrně a vyvažovat podporu růstu se stabilitou měny, cíli v oblasti zaměstnanosti a maržemi bankovního sektoru.“</w:t>
      </w:r>
    </w:p>
    <w:p w14:paraId="0F278E66" w14:textId="77777777" w:rsidR="00361FE1" w:rsidRPr="00361FE1" w:rsidRDefault="00361FE1" w:rsidP="00361FE1">
      <w:pPr>
        <w:rPr>
          <w:b/>
          <w:bCs/>
        </w:rPr>
      </w:pPr>
      <w:r w:rsidRPr="00361FE1">
        <w:rPr>
          <w:b/>
          <w:bCs/>
        </w:rPr>
        <w:t>Růstově orientované sektory jako motor výkonnosti akcií</w:t>
      </w:r>
    </w:p>
    <w:p w14:paraId="350C516E" w14:textId="77777777" w:rsidR="00361FE1" w:rsidRDefault="00361FE1" w:rsidP="00361FE1">
      <w:pPr>
        <w:rPr>
          <w:b/>
          <w:bCs/>
        </w:rPr>
      </w:pPr>
      <w:r w:rsidRPr="00361FE1">
        <w:rPr>
          <w:b/>
          <w:bCs/>
        </w:rPr>
        <w:t xml:space="preserve">Stuart </w:t>
      </w:r>
      <w:proofErr w:type="spellStart"/>
      <w:r w:rsidRPr="00361FE1">
        <w:rPr>
          <w:b/>
          <w:bCs/>
        </w:rPr>
        <w:t>Rumble</w:t>
      </w:r>
      <w:proofErr w:type="spellEnd"/>
      <w:r w:rsidRPr="00361FE1">
        <w:rPr>
          <w:b/>
          <w:bCs/>
        </w:rPr>
        <w:t xml:space="preserve">, vedoucí investičního směřování Asie </w:t>
      </w:r>
      <w:proofErr w:type="spellStart"/>
      <w:r w:rsidRPr="00361FE1">
        <w:rPr>
          <w:b/>
          <w:bCs/>
        </w:rPr>
        <w:t>Pacific</w:t>
      </w:r>
      <w:proofErr w:type="spellEnd"/>
      <w:r w:rsidRPr="00361FE1">
        <w:rPr>
          <w:b/>
          <w:bCs/>
        </w:rPr>
        <w:t xml:space="preserve">, </w:t>
      </w:r>
      <w:proofErr w:type="spellStart"/>
      <w:r w:rsidRPr="00361FE1">
        <w:rPr>
          <w:b/>
          <w:bCs/>
        </w:rPr>
        <w:t>Fidelity</w:t>
      </w:r>
      <w:proofErr w:type="spellEnd"/>
      <w:r w:rsidRPr="00361FE1">
        <w:rPr>
          <w:b/>
          <w:bCs/>
        </w:rPr>
        <w:t xml:space="preserve"> International, uvádí:</w:t>
      </w:r>
      <w:r>
        <w:rPr>
          <w:b/>
          <w:bCs/>
        </w:rPr>
        <w:tab/>
      </w:r>
    </w:p>
    <w:p w14:paraId="7B8E8544" w14:textId="44C42D58" w:rsidR="00361FE1" w:rsidRPr="00361FE1" w:rsidRDefault="00361FE1" w:rsidP="00361FE1">
      <w:r w:rsidRPr="00361FE1">
        <w:br/>
        <w:t>„S příchodem roku koně začíná čínský trh investorům znovu ukazovat svou sílu. Likviditní podmínky a kapitálové toky zůstávají příznivé jak na domácím trhu A-akcií, tak na zahraničních trzích s čínskými akciemi, zatímco tvůrci politik pokračují v postupné a vyvážené agendě zaměřené na podporu spotřeby, stabilizaci trhu s bydlením a strukturální reformy. Přetrvávají však některá rizika, zejména pomalé oživení trhu nemovitostí, geopolitická nejistota a doznívající deflační tlaky. Přesto lze očekávat, že konzistentní implementace politik a lepší viditelnost zisků podpoří domácí likviditu a přilákají zahraniční investory k čínským aktivům.</w:t>
      </w:r>
    </w:p>
    <w:p w14:paraId="259B73F9" w14:textId="77777777" w:rsidR="00361FE1" w:rsidRPr="00361FE1" w:rsidRDefault="00361FE1" w:rsidP="00361FE1">
      <w:r w:rsidRPr="00361FE1">
        <w:t>Před 12–18 měsíci byly valuace na extrémně nízkých úrovních. Přestože krátkodobé prostředí zůstává nerovnoměrné, kombinace cíleného fiskálního uvolňování, měnové politiky a iniciativ na podporu průmyslového rozvoje nadále posiluje důvěru ve střednědobý výhled. Akciové valuace se mírně přehodnotily, ale stále zůstávají rozumné ve srovnání s historickými průměry i globálními konkurenty.</w:t>
      </w:r>
    </w:p>
    <w:p w14:paraId="57BCCB15" w14:textId="77777777" w:rsidR="00361FE1" w:rsidRPr="00361FE1" w:rsidRDefault="00361FE1" w:rsidP="00361FE1">
      <w:r w:rsidRPr="00361FE1">
        <w:t xml:space="preserve">Index MSCI </w:t>
      </w:r>
      <w:proofErr w:type="spellStart"/>
      <w:r w:rsidRPr="00361FE1">
        <w:t>China</w:t>
      </w:r>
      <w:proofErr w:type="spellEnd"/>
      <w:r w:rsidRPr="00361FE1">
        <w:t xml:space="preserve"> vzrostl v roce 2025 o 31,4 % a překonal jak americké akcie, tak globální trhy. Tento růst byl tažen především inovačními tématy, zejména technologiemi a umělou inteligencí, po oznámení AI modelu </w:t>
      </w:r>
      <w:proofErr w:type="spellStart"/>
      <w:r w:rsidRPr="00361FE1">
        <w:t>DeepSeek</w:t>
      </w:r>
      <w:proofErr w:type="spellEnd"/>
      <w:r w:rsidRPr="00361FE1">
        <w:t xml:space="preserve"> na začátku roku 2025. Dynamika pokračovala i ke konci roku, kdy několik čínských technologických a AI společností vstoupilo na burzu v Hongkongu a přilákalo silný zájem investorů. Protikrizová politika vlády pomohla v uplynulém roce stabilizovat růst, čímž vytvořila základ pro trvalejší oživení. Klíčovou otázkou nyní zůstává, zda tato síla odráží zlepšující se fundamenty, nebo je spíše výsledkem přecenění taženého sentimentem.</w:t>
      </w:r>
    </w:p>
    <w:p w14:paraId="00C7C43E" w14:textId="77777777" w:rsidR="00361FE1" w:rsidRPr="00361FE1" w:rsidRDefault="00361FE1" w:rsidP="00361FE1">
      <w:r w:rsidRPr="00361FE1">
        <w:t xml:space="preserve">Zlepšující se makroekonomické prostředí a vznik nových růstových motorů podporují výkonnost růstově orientovaných sektorů. Technologie a inovace nadále nabízejí atraktivní příležitosti. Úspěch </w:t>
      </w:r>
      <w:proofErr w:type="spellStart"/>
      <w:r w:rsidRPr="00361FE1">
        <w:t>DeepSeek</w:t>
      </w:r>
      <w:proofErr w:type="spellEnd"/>
      <w:r w:rsidRPr="00361FE1">
        <w:t xml:space="preserve"> je výsledkem dlouhodobých investic do výzkumu a vývoje a širšího inovačního trendu v Číně. Inovace se přitom neomezují pouze na AI, ale zahrnují i robotiku, autonomní řízení, mobilitu nové generace a pokročilou výrobu.</w:t>
      </w:r>
    </w:p>
    <w:p w14:paraId="0AC02950" w14:textId="77777777" w:rsidR="00361FE1" w:rsidRPr="00361FE1" w:rsidRDefault="00361FE1" w:rsidP="00361FE1">
      <w:r w:rsidRPr="00361FE1">
        <w:t>Současně strukturální reformy — včetně liberalizace kapitálových trhů, modernizace nabídky, opatření proti nadměrné konkurenci a podpory soukromého sektoru — přispívají ke zdravějšímu a inovacím otevřenějšímu investičnímu prostředí. Tyto reformy zlepšují efektivitu alokace kapitálu a podporují růst tažený inovacemi napříč sektory.</w:t>
      </w:r>
    </w:p>
    <w:p w14:paraId="08FD8AAE" w14:textId="77777777" w:rsidR="00361FE1" w:rsidRPr="00361FE1" w:rsidRDefault="00361FE1" w:rsidP="00361FE1">
      <w:r w:rsidRPr="00361FE1">
        <w:lastRenderedPageBreak/>
        <w:t>Spotřeba zůstává klíčovým pilířem dlouhodobých růstových ambicí Číny. Ačkoli jsou domácí výdaje v krátkodobém horizontu utlumené kvůli opatrné náladě spotřebitelů, základní předpoklady se postupně zlepšují. Jak se trh s bydlením bude stabilizovat a situace na trhu práce se zlepší, poroste i důvěra spotřebitelů. To by mělo uvolnit značné úspory domácností, aktivovat odloženou poptávku a posílit spotřebu jako klíčový pilíř udržitelného růstu.</w:t>
      </w:r>
    </w:p>
    <w:p w14:paraId="01BDDF10" w14:textId="77777777" w:rsidR="00361FE1" w:rsidRPr="00361FE1" w:rsidRDefault="00361FE1" w:rsidP="00361FE1">
      <w:r w:rsidRPr="00361FE1">
        <w:t>To vytváří příležitosti pro aktivní investory, kteří mohou získat podíl v předních společnostech druhé největší ekonomiky světa za atraktivní valuace. Politické iniciativy zaměřené na podporu sektoru služeb a rozvoj wellness, zážitkové a zkušenostní spotřeby urychlují strukturální transformaci, která vede k výrazné diferenciaci mezi odvětvími. Jasní vítězové se objevují v prémiových službách, zdravotnictví, online platformách, volnočasových aktivitách a zážitkovém retailu.“</w:t>
      </w:r>
    </w:p>
    <w:p w14:paraId="6C231A3A" w14:textId="77777777" w:rsidR="00361FE1" w:rsidRPr="00361FE1" w:rsidRDefault="00361FE1" w:rsidP="00361FE1">
      <w:pPr>
        <w:rPr>
          <w:b/>
          <w:bCs/>
        </w:rPr>
      </w:pPr>
      <w:r w:rsidRPr="00361FE1">
        <w:rPr>
          <w:b/>
          <w:bCs/>
        </w:rPr>
        <w:t>Diverzifikace prostřednictvím dluhopisů</w:t>
      </w:r>
    </w:p>
    <w:p w14:paraId="19B2081E" w14:textId="77777777" w:rsidR="00361FE1" w:rsidRPr="00361FE1" w:rsidRDefault="00361FE1" w:rsidP="00361FE1">
      <w:r w:rsidRPr="00361FE1">
        <w:t>Investice do dluhopisových trhů s nízkou korelací vůči hlavním globálním trhům mohou hrát významnou roli při zvyšování diverzifikace portfolia.</w:t>
      </w:r>
    </w:p>
    <w:p w14:paraId="72822F08" w14:textId="77777777" w:rsidR="00361FE1" w:rsidRDefault="00361FE1" w:rsidP="00361FE1">
      <w:pPr>
        <w:rPr>
          <w:b/>
          <w:bCs/>
        </w:rPr>
      </w:pPr>
      <w:r w:rsidRPr="00361FE1">
        <w:rPr>
          <w:b/>
          <w:bCs/>
        </w:rPr>
        <w:t xml:space="preserve">Stuart </w:t>
      </w:r>
      <w:proofErr w:type="spellStart"/>
      <w:r w:rsidRPr="00361FE1">
        <w:rPr>
          <w:b/>
          <w:bCs/>
        </w:rPr>
        <w:t>Rumble</w:t>
      </w:r>
      <w:proofErr w:type="spellEnd"/>
      <w:r w:rsidRPr="00361FE1">
        <w:rPr>
          <w:b/>
          <w:bCs/>
        </w:rPr>
        <w:t xml:space="preserve"> dodává:</w:t>
      </w:r>
      <w:r>
        <w:rPr>
          <w:b/>
          <w:bCs/>
        </w:rPr>
        <w:tab/>
      </w:r>
    </w:p>
    <w:p w14:paraId="5DEE1C05" w14:textId="78947610" w:rsidR="00361FE1" w:rsidRPr="00361FE1" w:rsidRDefault="00361FE1" w:rsidP="00361FE1">
      <w:r w:rsidRPr="00361FE1">
        <w:br/>
        <w:t>„Čínský dluhopisový trh v roce 2026 nabízí atraktivní kombinaci solidního výnosu, relativně nízké durace a klesajících systémových rizik. Úspěšná alokace však bude stále více záviset na disciplinovaném výběru emitentů.</w:t>
      </w:r>
    </w:p>
    <w:p w14:paraId="12B5E3B4" w14:textId="77777777" w:rsidR="00361FE1" w:rsidRPr="00361FE1" w:rsidRDefault="00361FE1" w:rsidP="00361FE1">
      <w:r w:rsidRPr="00361FE1">
        <w:t xml:space="preserve">Makroekonomické prostředí charakterizované kontrolovanou stabilizací, nízkou inflací a dostatkem domácí likvidity podporuje státní dluhopisy, finanční instituce, státní podniky i </w:t>
      </w:r>
      <w:proofErr w:type="spellStart"/>
      <w:r w:rsidRPr="00361FE1">
        <w:t>kvazistátní</w:t>
      </w:r>
      <w:proofErr w:type="spellEnd"/>
      <w:r w:rsidRPr="00361FE1">
        <w:t xml:space="preserve"> emitenty, což vytváří stabilní prostředí pro investice do dluhopisů investičního stupně. Na druhé straně přetrvávající problémy v sektoru nemovitostí a slabá důvěra soukromého sektoru vedou k výrazné diferenciaci v oblasti kreditního rizika. </w:t>
      </w:r>
      <w:proofErr w:type="spellStart"/>
      <w:r w:rsidRPr="00361FE1">
        <w:t>High-yield</w:t>
      </w:r>
      <w:proofErr w:type="spellEnd"/>
      <w:r w:rsidRPr="00361FE1">
        <w:t xml:space="preserve"> segment zůstává silně závislý na výnosech a specifických fundamentálních faktorech jednotlivých emitentů.</w:t>
      </w:r>
    </w:p>
    <w:p w14:paraId="66ED3BD7" w14:textId="77777777" w:rsidR="00361FE1" w:rsidRPr="00361FE1" w:rsidRDefault="00361FE1" w:rsidP="00361FE1">
      <w:r w:rsidRPr="00361FE1">
        <w:t>Jiné než nemovitostní rizikové sektory, jako jsou finanční služby, utility a herní průmysl, nabízejí odolnější peněžní toky, u nemovitostí musí být expozice pečlivě řízena a zaměřena na státem podporované nebo nejkvalitnější emitenty s jasnou možnou cestou refinancování.</w:t>
      </w:r>
    </w:p>
    <w:p w14:paraId="361DA3F0" w14:textId="77777777" w:rsidR="00361FE1" w:rsidRPr="00361FE1" w:rsidRDefault="00361FE1" w:rsidP="00361FE1">
      <w:r w:rsidRPr="00361FE1">
        <w:t>Geopolitické a obchodní faktory, včetně rostoucích strukturálních rizikových prémií a volatility globálních úrokových sazeb, přidávají další vrstvu nejistoty a podporují neutrální až mírně konstruktivní přístup s důrazem na kvalitu. Celkově zůstává čínský dluhopisový trh podpořen silnou domácí likviditou, zlepšujícími se technickými faktory a klesající mírou nesplácení, avšak vysoký rozptyl a historicky napjaté valuace hovoří pro selektivní přístup, kratší až střední duraci a zaměření se na příjem z kvalitních investičních titulů a pečlivě vybraných příležitostí s vysokým výnosem.“</w:t>
      </w:r>
    </w:p>
    <w:p w14:paraId="2A26F931" w14:textId="0753436A" w:rsidR="00361FE1" w:rsidRDefault="00361FE1">
      <w:pPr>
        <w:spacing w:before="0" w:line="240" w:lineRule="auto"/>
        <w:jc w:val="left"/>
      </w:pPr>
      <w:r>
        <w:br w:type="page"/>
      </w:r>
    </w:p>
    <w:p w14:paraId="204DF694" w14:textId="77777777" w:rsidR="00361FE1" w:rsidRPr="00361FE1" w:rsidRDefault="00361FE1" w:rsidP="00361FE1"/>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 xml:space="preserve">Eliška </w:t>
      </w:r>
      <w:proofErr w:type="spellStart"/>
      <w:r w:rsidRPr="003B4C8C">
        <w:rPr>
          <w:b/>
          <w:bCs/>
        </w:rPr>
        <w:t>Krohová</w:t>
      </w:r>
      <w:proofErr w:type="spellEnd"/>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proofErr w:type="spellStart"/>
      <w:r w:rsidRPr="003B4C8C">
        <w:t>gsm</w:t>
      </w:r>
      <w:proofErr w:type="spellEnd"/>
      <w:r w:rsidRPr="003B4C8C">
        <w:t>: + 420 720 406 659</w:t>
      </w:r>
    </w:p>
    <w:p w14:paraId="557AD6EE" w14:textId="77777777" w:rsidR="00362096" w:rsidRPr="003B4C8C" w:rsidRDefault="00362096" w:rsidP="00362096">
      <w:r w:rsidRPr="003B4C8C">
        <w:t>e-mail: </w:t>
      </w:r>
      <w:hyperlink r:id="rId11"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proofErr w:type="spellStart"/>
      <w:r w:rsidRPr="003B4C8C">
        <w:rPr>
          <w:b/>
          <w:bCs/>
        </w:rPr>
        <w:t>Fidelity</w:t>
      </w:r>
      <w:proofErr w:type="spellEnd"/>
      <w:r w:rsidRPr="003B4C8C">
        <w:rPr>
          <w:b/>
          <w:bCs/>
        </w:rPr>
        <w:t xml:space="preserve">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3B4C8C">
        <w:t>assets</w:t>
      </w:r>
      <w:proofErr w:type="spellEnd"/>
      <w:r w:rsidRPr="003B4C8C">
        <w:t xml:space="preserve"> </w:t>
      </w:r>
      <w:proofErr w:type="spellStart"/>
      <w:r w:rsidRPr="003B4C8C">
        <w:t>under</w:t>
      </w:r>
      <w:proofErr w:type="spellEnd"/>
      <w:r w:rsidRPr="003B4C8C">
        <w:t xml:space="preserve"> </w:t>
      </w:r>
      <w:proofErr w:type="spellStart"/>
      <w:r w:rsidRPr="003B4C8C">
        <w:t>administration</w:t>
      </w:r>
      <w:proofErr w:type="spellEnd"/>
      <w:r w:rsidRPr="003B4C8C">
        <w:t xml:space="preserve">) a globálně pro klienty investovala 290 mld. USD ve 25 zemích napříč Evropou, Asií, Tichomořím, středním Východem a jižní Amerikou. V České republice </w:t>
      </w:r>
      <w:proofErr w:type="spellStart"/>
      <w:r w:rsidRPr="003B4C8C">
        <w:t>Fidelity</w:t>
      </w:r>
      <w:proofErr w:type="spellEnd"/>
      <w:r w:rsidRPr="003B4C8C">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proofErr w:type="spellStart"/>
      <w:r w:rsidRPr="003B4C8C">
        <w:t>Fidelity</w:t>
      </w:r>
      <w:proofErr w:type="spellEnd"/>
      <w:r w:rsidRPr="003B4C8C">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 xml:space="preserve">Jako </w:t>
      </w:r>
      <w:proofErr w:type="spellStart"/>
      <w:r w:rsidRPr="003B4C8C">
        <w:t>Fidelity</w:t>
      </w:r>
      <w:proofErr w:type="spellEnd"/>
      <w:r w:rsidRPr="003B4C8C">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lastRenderedPageBreak/>
        <w:t xml:space="preserve">Všechny názory představují stanoviska společnosti </w:t>
      </w:r>
      <w:proofErr w:type="spellStart"/>
      <w:r w:rsidRPr="003B4C8C">
        <w:t>Fidelity</w:t>
      </w:r>
      <w:proofErr w:type="spellEnd"/>
      <w:r w:rsidRPr="003B4C8C">
        <w:t xml:space="preserve">, není-li uvedeno jinak. </w:t>
      </w:r>
      <w:proofErr w:type="spellStart"/>
      <w:r w:rsidRPr="003B4C8C">
        <w:t>Fidelity</w:t>
      </w:r>
      <w:proofErr w:type="spellEnd"/>
      <w:r w:rsidRPr="003B4C8C">
        <w:t xml:space="preserve">, </w:t>
      </w:r>
      <w:proofErr w:type="spellStart"/>
      <w:r w:rsidRPr="003B4C8C">
        <w:t>Fidelity</w:t>
      </w:r>
      <w:proofErr w:type="spellEnd"/>
      <w:r w:rsidRPr="003B4C8C">
        <w:t xml:space="preserve"> International a logo </w:t>
      </w:r>
      <w:proofErr w:type="spellStart"/>
      <w:r w:rsidRPr="003B4C8C">
        <w:t>Fidelity</w:t>
      </w:r>
      <w:proofErr w:type="spellEnd"/>
      <w:r w:rsidRPr="003B4C8C">
        <w:t xml:space="preserve"> International a symbol měny F jsou všechno ochrannými známkami společnosti FIL Limited.</w:t>
      </w:r>
    </w:p>
    <w:p w14:paraId="4126DD13" w14:textId="77777777" w:rsidR="00362096" w:rsidRPr="003B4C8C" w:rsidRDefault="00362096" w:rsidP="00362096">
      <w:r w:rsidRPr="003B4C8C">
        <w:t xml:space="preserve">Tento dokument nepředstavuje distribuci, nabídku nebo výzvu k využití služeb investiční správy společnosti </w:t>
      </w:r>
      <w:proofErr w:type="spellStart"/>
      <w:r w:rsidRPr="003B4C8C">
        <w:t>Fidelity</w:t>
      </w:r>
      <w:proofErr w:type="spellEnd"/>
      <w:r w:rsidRPr="003B4C8C">
        <w:t>,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rsidRPr="003B4C8C">
        <w:t>Fidelity</w:t>
      </w:r>
      <w:proofErr w:type="spellEnd"/>
      <w:r w:rsidRPr="003B4C8C">
        <w:t xml:space="preserve"> již mohla jednat. Průzkumy a analýzy použité v této dokumentaci shromažďuje společnost </w:t>
      </w:r>
      <w:proofErr w:type="spellStart"/>
      <w:r w:rsidRPr="003B4C8C">
        <w:t>Fidelity</w:t>
      </w:r>
      <w:proofErr w:type="spellEnd"/>
      <w:r w:rsidRPr="003B4C8C">
        <w:t xml:space="preserve"> pro své potřeby správce investic a je možné, že podle nich již bylo postupováno pro její vlastní účely. Tento materiál byl vytvořen společností </w:t>
      </w:r>
      <w:proofErr w:type="spellStart"/>
      <w:r w:rsidRPr="003B4C8C">
        <w:t>Fidelity</w:t>
      </w:r>
      <w:proofErr w:type="spellEnd"/>
      <w:r w:rsidRPr="003B4C8C">
        <w:t xml:space="preserve">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 xml:space="preserve">Tento dokument může obsahovat materiály třetích stran, které jsou dodávány společnostmi, jež nejsou spojeny s žádným subjektem </w:t>
      </w:r>
      <w:proofErr w:type="spellStart"/>
      <w:r w:rsidRPr="003B4C8C">
        <w:t>Fidelity</w:t>
      </w:r>
      <w:proofErr w:type="spellEnd"/>
      <w:r w:rsidRPr="003B4C8C">
        <w:t xml:space="preserve"> (obsah třetích stran). Společnost </w:t>
      </w:r>
      <w:proofErr w:type="spellStart"/>
      <w:r w:rsidRPr="003B4C8C">
        <w:t>Fidelity</w:t>
      </w:r>
      <w:proofErr w:type="spellEnd"/>
      <w:r w:rsidRPr="003B4C8C">
        <w:t xml:space="preserve">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2" w:tgtFrame="_blank" w:history="1">
        <w:r w:rsidRPr="003B4C8C">
          <w:rPr>
            <w:rStyle w:val="Hypertextovodkaz"/>
          </w:rPr>
          <w:t>https://www.fidelityinternational.com</w:t>
        </w:r>
      </w:hyperlink>
      <w:r w:rsidRPr="003B4C8C">
        <w:t xml:space="preserve"> nebo od našich </w:t>
      </w:r>
      <w:proofErr w:type="spellStart"/>
      <w:r w:rsidRPr="003B4C8C">
        <w:t>distributořů</w:t>
      </w:r>
      <w:proofErr w:type="spellEnd"/>
      <w:r w:rsidRPr="003B4C8C">
        <w:t xml:space="preserve"> a našeho evropského Centra služeb v Lucembursku, sídlící na adrese FIL (</w:t>
      </w:r>
      <w:proofErr w:type="spellStart"/>
      <w:r w:rsidRPr="003B4C8C">
        <w:t>Luxembourg</w:t>
      </w:r>
      <w:proofErr w:type="spellEnd"/>
      <w:r w:rsidRPr="003B4C8C">
        <w:t xml:space="preserve">) S.A. 2a, </w:t>
      </w:r>
      <w:proofErr w:type="spellStart"/>
      <w:r w:rsidRPr="003B4C8C">
        <w:t>rue</w:t>
      </w:r>
      <w:proofErr w:type="spellEnd"/>
      <w:r w:rsidRPr="003B4C8C">
        <w:t xml:space="preserve"> Albert </w:t>
      </w:r>
      <w:proofErr w:type="spellStart"/>
      <w:r w:rsidRPr="003B4C8C">
        <w:t>Borschette</w:t>
      </w:r>
      <w:proofErr w:type="spellEnd"/>
      <w:r w:rsidRPr="003B4C8C">
        <w:t xml:space="preserve"> BP 2174 L-1021 </w:t>
      </w:r>
      <w:proofErr w:type="spellStart"/>
      <w:r w:rsidRPr="003B4C8C">
        <w:t>Luxembourg</w:t>
      </w:r>
      <w:proofErr w:type="spellEnd"/>
      <w:r w:rsidRPr="003B4C8C">
        <w:t>.</w:t>
      </w:r>
    </w:p>
    <w:p w14:paraId="7893AFD1" w14:textId="77777777" w:rsidR="00362096" w:rsidRPr="003B4C8C" w:rsidRDefault="00362096" w:rsidP="00362096">
      <w:proofErr w:type="spellStart"/>
      <w:r w:rsidRPr="003B4C8C">
        <w:t>Fidelity</w:t>
      </w:r>
      <w:proofErr w:type="spellEnd"/>
      <w:r w:rsidRPr="003B4C8C">
        <w:t xml:space="preserve"> </w:t>
      </w:r>
      <w:proofErr w:type="spellStart"/>
      <w:r w:rsidRPr="003B4C8C">
        <w:t>Funds</w:t>
      </w:r>
      <w:proofErr w:type="spellEnd"/>
      <w:r w:rsidRPr="003B4C8C">
        <w:t xml:space="preserve"> "FF" je otevřená investiční společnost (SKIPCP) sídlící v Lucembursku, která disponuje akciemi různých tříd. Společnost FIL </w:t>
      </w:r>
      <w:proofErr w:type="spellStart"/>
      <w:r w:rsidRPr="003B4C8C">
        <w:t>Investment</w:t>
      </w:r>
      <w:proofErr w:type="spellEnd"/>
      <w:r w:rsidRPr="003B4C8C">
        <w:t xml:space="preserve"> Management (</w:t>
      </w:r>
      <w:proofErr w:type="spellStart"/>
      <w:r w:rsidRPr="003B4C8C">
        <w:t>Luxembourg</w:t>
      </w:r>
      <w:proofErr w:type="spellEnd"/>
      <w:r w:rsidRPr="003B4C8C">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3B4C8C">
        <w:t>Lucembursku.Obchodní</w:t>
      </w:r>
      <w:proofErr w:type="spellEnd"/>
      <w:r w:rsidRPr="003B4C8C">
        <w:t xml:space="preserve">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3"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4D57F580" w:rsidR="00D20058" w:rsidRDefault="00DC3CA0" w:rsidP="00DC3CA0">
      <w:pPr>
        <w:pStyle w:val="F2-zkladn"/>
      </w:pPr>
      <w:r w:rsidRPr="00DC3CA0">
        <w:rPr>
          <w:lang w:val="de-AT"/>
        </w:rPr>
        <w:t>MKAT13545</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5A6F" w14:textId="77777777" w:rsidR="00EA0E59" w:rsidRDefault="00EA0E59">
      <w:r>
        <w:separator/>
      </w:r>
    </w:p>
  </w:endnote>
  <w:endnote w:type="continuationSeparator" w:id="0">
    <w:p w14:paraId="7728DB51" w14:textId="77777777" w:rsidR="00EA0E59" w:rsidRDefault="00EA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9A90" w14:textId="77777777" w:rsidR="00EA0E59" w:rsidRDefault="00EA0E59">
      <w:r>
        <w:separator/>
      </w:r>
    </w:p>
  </w:footnote>
  <w:footnote w:type="continuationSeparator" w:id="0">
    <w:p w14:paraId="4432B55A" w14:textId="77777777" w:rsidR="00EA0E59" w:rsidRDefault="00EA0E59">
      <w:r>
        <w:continuationSeparator/>
      </w:r>
    </w:p>
  </w:footnote>
  <w:footnote w:type="continuationNotice" w:id="1">
    <w:p w14:paraId="604FB250" w14:textId="77777777" w:rsidR="00EA0E59" w:rsidRDefault="00EA0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7F7BD0"/>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2FDE"/>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4F08"/>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E59"/>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58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ttps/www.fidelityinter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2026</Words>
  <Characters>11956</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13955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ELISKA KROHOVA</cp:lastModifiedBy>
  <cp:revision>2</cp:revision>
  <cp:lastPrinted>2015-11-30T16:29:00Z</cp:lastPrinted>
  <dcterms:created xsi:type="dcterms:W3CDTF">2026-02-09T10:01:00Z</dcterms:created>
  <dcterms:modified xsi:type="dcterms:W3CDTF">2026-02-09T10:01:00Z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